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438D">
      <w:pPr>
        <w:jc w:val="center"/>
        <w:rPr>
          <w:sz w:val="32"/>
          <w:szCs w:val="32"/>
        </w:rPr>
      </w:pPr>
      <w:r>
        <w:rPr>
          <w:rFonts w:hint="eastAsia"/>
          <w:sz w:val="32"/>
          <w:szCs w:val="32"/>
        </w:rPr>
        <w:t>已完成项目网上公布表</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1985"/>
        <w:gridCol w:w="566"/>
        <w:gridCol w:w="4927"/>
      </w:tblGrid>
      <w:tr w14:paraId="72835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6" w:type="pct"/>
          </w:tcPr>
          <w:p w14:paraId="544729B8">
            <w:pPr>
              <w:rPr>
                <w:rFonts w:hint="eastAsia"/>
                <w:sz w:val="24"/>
                <w:szCs w:val="24"/>
              </w:rPr>
            </w:pPr>
            <w:r>
              <w:rPr>
                <w:sz w:val="24"/>
                <w:szCs w:val="24"/>
              </w:rPr>
              <w:br w:type="page"/>
            </w:r>
            <w:r>
              <w:rPr>
                <w:rFonts w:hint="eastAsia"/>
                <w:sz w:val="24"/>
                <w:szCs w:val="24"/>
              </w:rPr>
              <w:t>安全评价项目名称：</w:t>
            </w:r>
          </w:p>
        </w:tc>
        <w:tc>
          <w:tcPr>
            <w:tcW w:w="3794" w:type="pct"/>
            <w:gridSpan w:val="3"/>
          </w:tcPr>
          <w:p w14:paraId="03753605">
            <w:pPr>
              <w:rPr>
                <w:rFonts w:hint="default" w:eastAsiaTheme="minorEastAsia"/>
                <w:lang w:val="en-US" w:eastAsia="zh-CN"/>
              </w:rPr>
            </w:pPr>
            <w:r>
              <w:rPr>
                <w:rFonts w:hint="eastAsia"/>
                <w:sz w:val="21"/>
                <w:szCs w:val="21"/>
                <w:lang w:val="en-US" w:eastAsia="zh-CN"/>
              </w:rPr>
              <w:t>中国石化销售股份有限公司江西宜春铜鼓江头加油站</w:t>
            </w:r>
            <w:r>
              <w:rPr>
                <w:rFonts w:hint="eastAsia"/>
                <w:sz w:val="21"/>
                <w:szCs w:val="21"/>
              </w:rPr>
              <w:t>安全现状评价</w:t>
            </w:r>
          </w:p>
        </w:tc>
      </w:tr>
      <w:tr w14:paraId="66740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6" w:type="pct"/>
          </w:tcPr>
          <w:p w14:paraId="7A03665A">
            <w:pPr>
              <w:rPr>
                <w:rFonts w:hint="eastAsia"/>
                <w:sz w:val="24"/>
                <w:szCs w:val="24"/>
              </w:rPr>
            </w:pPr>
            <w:r>
              <w:rPr>
                <w:rFonts w:hint="eastAsia"/>
                <w:sz w:val="24"/>
                <w:szCs w:val="24"/>
                <w:lang w:val="en-US" w:eastAsia="zh-CN"/>
              </w:rPr>
              <w:t>公司</w:t>
            </w:r>
            <w:r>
              <w:rPr>
                <w:rFonts w:hint="eastAsia"/>
                <w:sz w:val="24"/>
                <w:szCs w:val="24"/>
              </w:rPr>
              <w:t>名称：</w:t>
            </w:r>
          </w:p>
        </w:tc>
        <w:tc>
          <w:tcPr>
            <w:tcW w:w="3794" w:type="pct"/>
            <w:gridSpan w:val="3"/>
          </w:tcPr>
          <w:p w14:paraId="2C554B2A">
            <w:pPr>
              <w:rPr>
                <w:rFonts w:hint="default" w:eastAsiaTheme="minorEastAsia"/>
                <w:lang w:val="en-US" w:eastAsia="zh-CN"/>
              </w:rPr>
            </w:pPr>
            <w:r>
              <w:rPr>
                <w:rFonts w:hint="default" w:eastAsiaTheme="minorEastAsia"/>
                <w:lang w:val="en-US" w:eastAsia="zh-CN"/>
              </w:rPr>
              <w:t>中国石化销售股份有限公司江西</w:t>
            </w:r>
            <w:r>
              <w:rPr>
                <w:rFonts w:hint="eastAsia"/>
                <w:lang w:val="en-US" w:eastAsia="zh-CN"/>
              </w:rPr>
              <w:t>宜春</w:t>
            </w:r>
            <w:r>
              <w:rPr>
                <w:rFonts w:hint="default" w:eastAsiaTheme="minorEastAsia"/>
                <w:lang w:val="en-US" w:eastAsia="zh-CN"/>
              </w:rPr>
              <w:t>石油分公司</w:t>
            </w:r>
          </w:p>
        </w:tc>
      </w:tr>
      <w:tr w14:paraId="6B592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6" w:type="pct"/>
          </w:tcPr>
          <w:p w14:paraId="4E1E26E9">
            <w:pPr>
              <w:rPr>
                <w:rFonts w:hint="eastAsia"/>
                <w:sz w:val="24"/>
                <w:szCs w:val="24"/>
              </w:rPr>
            </w:pPr>
            <w:r>
              <w:rPr>
                <w:rFonts w:hint="eastAsia"/>
                <w:sz w:val="24"/>
                <w:szCs w:val="24"/>
              </w:rPr>
              <w:t>简介：</w:t>
            </w:r>
          </w:p>
        </w:tc>
        <w:tc>
          <w:tcPr>
            <w:tcW w:w="3794" w:type="pct"/>
            <w:gridSpan w:val="3"/>
          </w:tcPr>
          <w:p w14:paraId="1ABF23F4">
            <w:pPr>
              <w:rPr>
                <w:rFonts w:hint="eastAsia"/>
              </w:rPr>
            </w:pPr>
          </w:p>
        </w:tc>
      </w:tr>
      <w:tr w14:paraId="09F40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4"/>
          </w:tcPr>
          <w:p w14:paraId="08A261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中国石化销售股份有限公司江西宜春铜鼓江头加油站地处铜鼓县永宁镇江头村，位于220国道西侧，是中国石化销售股份有限公司江西宜春石油分公司下属加油站，是一家从事成品油零售经营的外商投资企业分公司，主要经营92＃汽油、0#柴油。站内建筑、设备为自有，设有2个埋地油罐，其中30m³的92#汽油罐1个、50m³的0#柴油罐1个，油罐总容积80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，柴油折半计容积为55m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，为三级加油站。</w:t>
            </w:r>
          </w:p>
          <w:p w14:paraId="7BDC06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加油站已取得丰城市应急管理局颁发的《危险化学品经营许可证》，证号：赣宜危化经字(2019)800021号，有效期至2025年6月28日，许可范围：汽油、柴油。</w:t>
            </w:r>
          </w:p>
          <w:p w14:paraId="3FD451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中华人民共和国安全生产法》（中华人民共和国主席令第88号）和《危险化学品安全管理条例》（国务院第591号（645号修订））及《危险化学品经营许可证管理办法》（国家安全生产监督管理总局第55号令、第79号修订）的规定要求，危险化学品经营许可证有效期为3年。有效期满后，经营单位继续从事危险化学品经营活动的，应当在经营许可证有效期满前3个月内向原发证机关提出换证申请。</w:t>
            </w:r>
          </w:p>
          <w:p w14:paraId="5BF0FC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lang w:val="en-US" w:eastAsia="zh-CN"/>
              </w:rPr>
            </w:pPr>
            <w:r>
              <w:rPr>
                <w:rFonts w:hint="default" w:ascii="Times New Roman" w:hAnsi="Times New Roman" w:eastAsia="宋体" w:cs="Times New Roman"/>
                <w:lang w:val="en-US" w:eastAsia="zh-CN"/>
              </w:rPr>
              <w:t>江西赣安安全生产科学技术咨询服务中心受中国石化销售股份有限公司江西宜春铜鼓江头加油站的委托，我中心组织安全评价人员，针对该加油站经营、储存场所、经营条件、人员培训、安全生产管理制度、事故应急救援等方面进行检查评价，依据《安全评价通则》（AQ8001-2007）、《危险化学品经营单位安全评价导则（试行）》（国家安监总局安监管管二字〔2003〕38号）等现行危险化学品安全评价标准的要求编制本安全现状评价报告。</w:t>
            </w:r>
          </w:p>
        </w:tc>
      </w:tr>
      <w:tr w14:paraId="6008D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745B537B">
            <w:pPr>
              <w:rPr>
                <w:rFonts w:hint="eastAsia"/>
                <w:sz w:val="24"/>
                <w:szCs w:val="24"/>
              </w:rPr>
            </w:pPr>
            <w:r>
              <w:rPr>
                <w:rFonts w:hint="eastAsia"/>
                <w:sz w:val="24"/>
                <w:szCs w:val="24"/>
              </w:rPr>
              <w:t>安全评价项目组长：</w:t>
            </w:r>
          </w:p>
        </w:tc>
        <w:tc>
          <w:tcPr>
            <w:tcW w:w="2787" w:type="pct"/>
            <w:gridSpan w:val="2"/>
          </w:tcPr>
          <w:p w14:paraId="0E16F719">
            <w:pPr>
              <w:rPr>
                <w:rFonts w:hint="default" w:eastAsiaTheme="minorEastAsia"/>
                <w:sz w:val="24"/>
                <w:szCs w:val="24"/>
                <w:lang w:val="en-US" w:eastAsia="zh-CN"/>
              </w:rPr>
            </w:pPr>
            <w:r>
              <w:rPr>
                <w:rFonts w:hint="eastAsia"/>
                <w:sz w:val="24"/>
                <w:szCs w:val="24"/>
                <w:lang w:val="en-US" w:eastAsia="zh-CN"/>
              </w:rPr>
              <w:t>谢寒梅</w:t>
            </w:r>
          </w:p>
        </w:tc>
      </w:tr>
      <w:tr w14:paraId="378B0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03942D9C">
            <w:pPr>
              <w:rPr>
                <w:rFonts w:hint="eastAsia"/>
                <w:sz w:val="24"/>
                <w:szCs w:val="24"/>
              </w:rPr>
            </w:pPr>
            <w:r>
              <w:rPr>
                <w:rFonts w:hint="eastAsia"/>
                <w:sz w:val="24"/>
                <w:szCs w:val="24"/>
              </w:rPr>
              <w:t>技术负责人：</w:t>
            </w:r>
          </w:p>
        </w:tc>
        <w:tc>
          <w:tcPr>
            <w:tcW w:w="2787" w:type="pct"/>
            <w:gridSpan w:val="2"/>
          </w:tcPr>
          <w:p w14:paraId="69FF639F">
            <w:pPr>
              <w:rPr>
                <w:rFonts w:hint="default" w:eastAsiaTheme="minorEastAsia"/>
                <w:sz w:val="24"/>
                <w:szCs w:val="24"/>
                <w:lang w:val="en-US" w:eastAsia="zh-CN"/>
              </w:rPr>
            </w:pPr>
            <w:r>
              <w:rPr>
                <w:rFonts w:hint="eastAsia"/>
                <w:sz w:val="24"/>
                <w:szCs w:val="24"/>
                <w:lang w:val="en-US" w:eastAsia="zh-CN"/>
              </w:rPr>
              <w:t>周红波</w:t>
            </w:r>
          </w:p>
        </w:tc>
      </w:tr>
      <w:tr w14:paraId="5DB6A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2E6978F7">
            <w:pPr>
              <w:rPr>
                <w:rFonts w:hint="eastAsia"/>
                <w:sz w:val="24"/>
                <w:szCs w:val="24"/>
              </w:rPr>
            </w:pPr>
            <w:r>
              <w:rPr>
                <w:rFonts w:hint="eastAsia"/>
                <w:sz w:val="24"/>
                <w:szCs w:val="24"/>
              </w:rPr>
              <w:t>过程控制负责人：</w:t>
            </w:r>
          </w:p>
        </w:tc>
        <w:tc>
          <w:tcPr>
            <w:tcW w:w="2787" w:type="pct"/>
            <w:gridSpan w:val="2"/>
          </w:tcPr>
          <w:p w14:paraId="61ADC9C0">
            <w:pPr>
              <w:rPr>
                <w:rFonts w:hint="default" w:eastAsiaTheme="minorEastAsia"/>
                <w:sz w:val="24"/>
                <w:szCs w:val="24"/>
                <w:lang w:val="en-US" w:eastAsia="zh-CN"/>
              </w:rPr>
            </w:pPr>
            <w:r>
              <w:rPr>
                <w:rFonts w:hint="eastAsia"/>
                <w:sz w:val="24"/>
                <w:szCs w:val="24"/>
                <w:lang w:val="en-US" w:eastAsia="zh-CN"/>
              </w:rPr>
              <w:t>黄香港</w:t>
            </w:r>
          </w:p>
        </w:tc>
      </w:tr>
      <w:tr w14:paraId="0E544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091B5841">
            <w:pPr>
              <w:rPr>
                <w:rFonts w:hint="eastAsia"/>
                <w:sz w:val="24"/>
                <w:szCs w:val="24"/>
              </w:rPr>
            </w:pPr>
            <w:r>
              <w:rPr>
                <w:rFonts w:hint="eastAsia"/>
                <w:sz w:val="24"/>
                <w:szCs w:val="24"/>
              </w:rPr>
              <w:t>评价报告编制人：</w:t>
            </w:r>
          </w:p>
        </w:tc>
        <w:tc>
          <w:tcPr>
            <w:tcW w:w="2787" w:type="pct"/>
            <w:gridSpan w:val="2"/>
          </w:tcPr>
          <w:p w14:paraId="42AF557D">
            <w:pPr>
              <w:rPr>
                <w:rFonts w:hint="default" w:eastAsiaTheme="minorEastAsia"/>
                <w:sz w:val="24"/>
                <w:szCs w:val="24"/>
                <w:lang w:val="en-US" w:eastAsia="zh-CN"/>
              </w:rPr>
            </w:pPr>
            <w:r>
              <w:rPr>
                <w:rFonts w:hint="eastAsia"/>
                <w:sz w:val="24"/>
                <w:szCs w:val="24"/>
                <w:lang w:val="en-US" w:eastAsia="zh-CN"/>
              </w:rPr>
              <w:t>谢寒梅</w:t>
            </w:r>
          </w:p>
        </w:tc>
      </w:tr>
      <w:tr w14:paraId="09615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71EA0928">
            <w:pPr>
              <w:rPr>
                <w:rFonts w:hint="eastAsia"/>
                <w:sz w:val="24"/>
                <w:szCs w:val="24"/>
              </w:rPr>
            </w:pPr>
            <w:r>
              <w:rPr>
                <w:rFonts w:hint="eastAsia"/>
                <w:sz w:val="24"/>
                <w:szCs w:val="24"/>
              </w:rPr>
              <w:t>报告审核人：</w:t>
            </w:r>
          </w:p>
        </w:tc>
        <w:tc>
          <w:tcPr>
            <w:tcW w:w="2787" w:type="pct"/>
            <w:gridSpan w:val="2"/>
          </w:tcPr>
          <w:p w14:paraId="340D9C7E">
            <w:pPr>
              <w:rPr>
                <w:rFonts w:hint="default" w:eastAsiaTheme="minorEastAsia"/>
                <w:sz w:val="24"/>
                <w:szCs w:val="24"/>
                <w:lang w:val="en-US" w:eastAsia="zh-CN"/>
              </w:rPr>
            </w:pPr>
            <w:r>
              <w:rPr>
                <w:rFonts w:hint="default" w:ascii="Times New Roman" w:hAnsi="Times New Roman" w:eastAsia="宋体" w:cs="Times New Roman"/>
                <w:sz w:val="24"/>
                <w:lang w:val="en-US" w:eastAsia="zh-CN"/>
              </w:rPr>
              <w:t>檀廷斌</w:t>
            </w:r>
          </w:p>
        </w:tc>
      </w:tr>
      <w:tr w14:paraId="2BD06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7B354574">
            <w:pPr>
              <w:rPr>
                <w:rFonts w:hint="eastAsia"/>
                <w:sz w:val="24"/>
                <w:szCs w:val="24"/>
              </w:rPr>
            </w:pPr>
            <w:r>
              <w:rPr>
                <w:rFonts w:hint="eastAsia"/>
                <w:sz w:val="24"/>
                <w:szCs w:val="24"/>
              </w:rPr>
              <w:t>参与评价工作的安全评价师：</w:t>
            </w:r>
          </w:p>
        </w:tc>
        <w:tc>
          <w:tcPr>
            <w:tcW w:w="2787" w:type="pct"/>
            <w:gridSpan w:val="2"/>
          </w:tcPr>
          <w:p w14:paraId="22F1AF9F">
            <w:pPr>
              <w:rPr>
                <w:rFonts w:hint="default" w:eastAsiaTheme="minorEastAsia"/>
                <w:sz w:val="24"/>
                <w:szCs w:val="24"/>
                <w:lang w:val="en-US" w:eastAsia="zh-CN"/>
              </w:rPr>
            </w:pPr>
            <w:r>
              <w:rPr>
                <w:rFonts w:hint="eastAsia"/>
                <w:sz w:val="24"/>
                <w:szCs w:val="24"/>
                <w:lang w:val="en-US" w:eastAsia="zh-CN"/>
              </w:rPr>
              <w:t>郑强、谢寒梅、王冠、王波、李景龙、檀廷斌、黄香港、周红波</w:t>
            </w:r>
          </w:p>
        </w:tc>
      </w:tr>
      <w:tr w14:paraId="7CB72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6F77D191">
            <w:pPr>
              <w:rPr>
                <w:rFonts w:hint="eastAsia"/>
                <w:sz w:val="24"/>
                <w:szCs w:val="24"/>
              </w:rPr>
            </w:pPr>
            <w:r>
              <w:rPr>
                <w:rFonts w:hint="eastAsia"/>
                <w:sz w:val="24"/>
                <w:szCs w:val="24"/>
              </w:rPr>
              <w:t>注册安全工程师：</w:t>
            </w:r>
          </w:p>
        </w:tc>
        <w:tc>
          <w:tcPr>
            <w:tcW w:w="2787" w:type="pct"/>
            <w:gridSpan w:val="2"/>
          </w:tcPr>
          <w:p w14:paraId="12980B34">
            <w:pPr>
              <w:rPr>
                <w:rFonts w:hint="default" w:eastAsiaTheme="minorEastAsia"/>
                <w:sz w:val="24"/>
                <w:szCs w:val="24"/>
                <w:lang w:val="en-US" w:eastAsia="zh-CN"/>
              </w:rPr>
            </w:pPr>
            <w:r>
              <w:rPr>
                <w:rFonts w:hint="eastAsia"/>
                <w:sz w:val="24"/>
                <w:szCs w:val="24"/>
                <w:lang w:val="en-US" w:eastAsia="zh-CN"/>
              </w:rPr>
              <w:t>郑强、谢寒梅、王冠、王波、李景龙、檀廷斌、黄香港、周红波</w:t>
            </w:r>
          </w:p>
        </w:tc>
      </w:tr>
      <w:tr w14:paraId="3C72A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6D0557CB">
            <w:pPr>
              <w:rPr>
                <w:rFonts w:hint="eastAsia"/>
                <w:sz w:val="24"/>
                <w:szCs w:val="24"/>
              </w:rPr>
            </w:pPr>
            <w:r>
              <w:rPr>
                <w:rFonts w:hint="eastAsia"/>
                <w:sz w:val="24"/>
                <w:szCs w:val="24"/>
              </w:rPr>
              <w:t>技术专家：</w:t>
            </w:r>
          </w:p>
        </w:tc>
        <w:tc>
          <w:tcPr>
            <w:tcW w:w="2787" w:type="pct"/>
            <w:gridSpan w:val="2"/>
          </w:tcPr>
          <w:p w14:paraId="70690989">
            <w:pPr>
              <w:rPr>
                <w:rFonts w:hint="eastAsia" w:eastAsiaTheme="minorEastAsia"/>
                <w:sz w:val="24"/>
                <w:szCs w:val="24"/>
                <w:lang w:val="en-US" w:eastAsia="zh-CN"/>
              </w:rPr>
            </w:pPr>
            <w:r>
              <w:rPr>
                <w:rFonts w:hint="eastAsia"/>
                <w:sz w:val="24"/>
                <w:szCs w:val="24"/>
                <w:lang w:val="en-US" w:eastAsia="zh-CN"/>
              </w:rPr>
              <w:t>刘秋红</w:t>
            </w:r>
          </w:p>
        </w:tc>
      </w:tr>
      <w:tr w14:paraId="41B68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201128D0">
            <w:pPr>
              <w:rPr>
                <w:rFonts w:hint="eastAsia"/>
                <w:sz w:val="24"/>
                <w:szCs w:val="24"/>
              </w:rPr>
            </w:pPr>
            <w:r>
              <w:rPr>
                <w:rFonts w:hint="eastAsia"/>
                <w:sz w:val="24"/>
                <w:szCs w:val="24"/>
              </w:rPr>
              <w:t>到现场开展安全评价工作的人员名单：</w:t>
            </w:r>
          </w:p>
        </w:tc>
        <w:tc>
          <w:tcPr>
            <w:tcW w:w="2787" w:type="pct"/>
            <w:gridSpan w:val="2"/>
          </w:tcPr>
          <w:p w14:paraId="09CDD445">
            <w:pPr>
              <w:rPr>
                <w:rFonts w:hint="default" w:eastAsiaTheme="minorEastAsia"/>
                <w:sz w:val="24"/>
                <w:szCs w:val="24"/>
                <w:lang w:val="en-US" w:eastAsia="zh-CN"/>
              </w:rPr>
            </w:pPr>
            <w:r>
              <w:rPr>
                <w:rFonts w:hint="eastAsia"/>
                <w:sz w:val="24"/>
                <w:szCs w:val="24"/>
                <w:lang w:val="en-US" w:eastAsia="zh-CN"/>
              </w:rPr>
              <w:t>谢寒梅、李景龙</w:t>
            </w:r>
          </w:p>
        </w:tc>
      </w:tr>
      <w:tr w14:paraId="09185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794FFC6F">
            <w:pPr>
              <w:rPr>
                <w:rFonts w:hint="eastAsia"/>
                <w:sz w:val="24"/>
                <w:szCs w:val="24"/>
              </w:rPr>
            </w:pPr>
            <w:r>
              <w:rPr>
                <w:rFonts w:hint="eastAsia"/>
                <w:sz w:val="24"/>
                <w:szCs w:val="24"/>
              </w:rPr>
              <w:t>时间和主要任务：</w:t>
            </w:r>
          </w:p>
        </w:tc>
        <w:tc>
          <w:tcPr>
            <w:tcW w:w="2787" w:type="pct"/>
            <w:gridSpan w:val="2"/>
          </w:tcPr>
          <w:p w14:paraId="186571A2">
            <w:pPr>
              <w:rPr>
                <w:rFonts w:hint="eastAsia"/>
                <w:sz w:val="24"/>
                <w:szCs w:val="24"/>
              </w:rPr>
            </w:pPr>
            <w:r>
              <w:rPr>
                <w:rFonts w:hint="default" w:ascii="Times New Roman" w:hAnsi="Times New Roman" w:cs="Times New Roman"/>
                <w:sz w:val="24"/>
                <w:szCs w:val="24"/>
              </w:rPr>
              <w:t>20</w:t>
            </w:r>
            <w:r>
              <w:rPr>
                <w:rFonts w:hint="eastAsia" w:ascii="Times New Roman" w:hAnsi="Times New Roman" w:cs="Times New Roman"/>
                <w:sz w:val="24"/>
                <w:szCs w:val="24"/>
                <w:lang w:val="en-US" w:eastAsia="zh-CN"/>
              </w:rPr>
              <w:t>25.3</w:t>
            </w:r>
            <w:r>
              <w:rPr>
                <w:rFonts w:hint="default" w:ascii="Times New Roman" w:hAnsi="Times New Roman" w:cs="Times New Roman"/>
                <w:sz w:val="24"/>
                <w:szCs w:val="24"/>
              </w:rPr>
              <w:t>；勘查现场及周边环境，查阅相关技术资料、现场调研，收集</w:t>
            </w:r>
            <w:r>
              <w:rPr>
                <w:rFonts w:hint="eastAsia" w:ascii="Times New Roman" w:hAnsi="Times New Roman" w:cs="Times New Roman"/>
                <w:sz w:val="24"/>
                <w:szCs w:val="24"/>
                <w:lang w:val="en-US" w:eastAsia="zh-CN"/>
              </w:rPr>
              <w:t>安全评价报告</w:t>
            </w:r>
            <w:r>
              <w:rPr>
                <w:rFonts w:hint="default" w:ascii="Times New Roman" w:hAnsi="Times New Roman" w:cs="Times New Roman"/>
                <w:sz w:val="24"/>
                <w:szCs w:val="24"/>
              </w:rPr>
              <w:t>的有关资料。</w:t>
            </w:r>
          </w:p>
        </w:tc>
      </w:tr>
      <w:tr w14:paraId="577C8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3" w:type="pct"/>
            <w:gridSpan w:val="2"/>
          </w:tcPr>
          <w:p w14:paraId="6D974C23">
            <w:pPr>
              <w:rPr>
                <w:rFonts w:hint="eastAsia"/>
                <w:sz w:val="24"/>
                <w:szCs w:val="24"/>
              </w:rPr>
            </w:pPr>
            <w:r>
              <w:rPr>
                <w:rFonts w:hint="eastAsia"/>
                <w:sz w:val="24"/>
                <w:szCs w:val="24"/>
              </w:rPr>
              <w:t>评价报告：</w:t>
            </w:r>
          </w:p>
        </w:tc>
        <w:tc>
          <w:tcPr>
            <w:tcW w:w="2787" w:type="pct"/>
            <w:gridSpan w:val="2"/>
          </w:tcPr>
          <w:p w14:paraId="6C5C04A1">
            <w:pPr>
              <w:rPr>
                <w:rFonts w:hint="eastAsia"/>
              </w:rPr>
            </w:pPr>
          </w:p>
        </w:tc>
      </w:tr>
      <w:tr w14:paraId="55788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4"/>
          </w:tcPr>
          <w:p w14:paraId="5BEFFF62">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安全对策措施建议</w:t>
            </w:r>
          </w:p>
          <w:p w14:paraId="69B820BB">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1、加强对加油车辆的管理，车辆不能随意从出口进入或由进口出去。</w:t>
            </w:r>
          </w:p>
          <w:p w14:paraId="136C4282">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2、应做好钢结构杆件除锈，涂刷防锈漆，清理屋面积灰、疏通排水管等维修保养工作。</w:t>
            </w:r>
          </w:p>
          <w:p w14:paraId="10589CA7">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3、加油站制定了事故应急救援预案，需根据《生产经营单位生产安全事故应急预案编制导则》（GB/T29639-2020）要求进行修改完善；并按预案中的要求组织员工学习，定期进行演练。</w:t>
            </w:r>
          </w:p>
          <w:p w14:paraId="54280F21">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4、加油站应在油罐区、加油区和卸油口等处增设醒目的安全警示标志和风险告知牌。</w:t>
            </w:r>
          </w:p>
          <w:p w14:paraId="4F5A57E3">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5、建议进一步建立健全安全经营管理制度，加强人员的安全培训和安全技能教育。完善安全检测、控制设施，进一步提高本质安全度，达到安全经营的目的。</w:t>
            </w:r>
          </w:p>
          <w:p w14:paraId="3F65EB7A">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6、应当建立安全生产教育和培训档案，如实记录安全生产教育和培训的时间、内容、参加人员以及考核结果等情况。</w:t>
            </w:r>
          </w:p>
          <w:p w14:paraId="7DEC0AA4">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7、应根据《生产安全事故应急演练评估规范》《生产安全事故应急演练基本规范》继续完善应急演练和记录。</w:t>
            </w:r>
          </w:p>
          <w:p w14:paraId="32956F78">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8、加强对配电房及相关变配电设施的安全管理，确保供变配电设备的安全有效稳定地运行。</w:t>
            </w:r>
          </w:p>
          <w:p w14:paraId="1535F0F2">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9、加强对加油区现场的管理，防止外来加油人员及其他人员对加油站造成安全隐患或重大影响。</w:t>
            </w:r>
          </w:p>
          <w:p w14:paraId="731CD0E4">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10、应根据《中华人民共和国安全生产法》的规定，继续完善安全生产管理制度。</w:t>
            </w:r>
          </w:p>
          <w:p w14:paraId="4A9E1D4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bookmarkStart w:id="0" w:name="_Toc30295"/>
            <w:r>
              <w:rPr>
                <w:rFonts w:hint="eastAsia" w:ascii="Times New Roman" w:hAnsi="Times New Roman" w:cs="Times New Roman"/>
                <w:b w:val="0"/>
                <w:bCs w:val="0"/>
                <w:kern w:val="2"/>
                <w:sz w:val="24"/>
                <w:szCs w:val="24"/>
                <w:lang w:val="en-US" w:eastAsia="zh-CN" w:bidi="ar-SA"/>
              </w:rPr>
              <w:t>评价结论</w:t>
            </w:r>
            <w:bookmarkEnd w:id="0"/>
          </w:p>
          <w:p w14:paraId="604E3C2A">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1、该加油站为成品油零售企业，属三级加油站；</w:t>
            </w:r>
          </w:p>
          <w:p w14:paraId="74CC42A6">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2、依据《危险化学品重大危险源辨识》（GB18218-2018）的规定，该加油站加油区、油罐区的危险化学品未构成危险化学品重大危险源。</w:t>
            </w:r>
          </w:p>
          <w:p w14:paraId="58C86179">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3、该加油站危险度评价，油罐区为低度危险。同时加油站设置了液位监控仪、防渗漏池等安全设施，危险性可控制在可接受范围内。</w:t>
            </w:r>
          </w:p>
          <w:p w14:paraId="0737648B">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4、该加油站不存在重大生产安全事故隐患。</w:t>
            </w:r>
          </w:p>
          <w:p w14:paraId="4AAB3AD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5、该加油站平面布置、建筑结构、消防、安全设施符合国家和行业相关标准、规范的要求。</w:t>
            </w:r>
          </w:p>
          <w:p w14:paraId="2B4AF879">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6、该加油站安全生产管理制度齐全，执行情况良好，可以满足正常运行过程中的安全生产的需要。</w:t>
            </w:r>
          </w:p>
          <w:p w14:paraId="147DD5A2">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综合所述：该加油站达到安全生产经营的标准，符合经营和储存危险化学品（汽油、柴油）的安全要求。</w:t>
            </w:r>
            <w:bookmarkStart w:id="1" w:name="_GoBack"/>
            <w:bookmarkEnd w:id="1"/>
          </w:p>
          <w:p w14:paraId="6C28759D">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现场照片</w:t>
            </w:r>
          </w:p>
          <w:p w14:paraId="2B1236C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eastAsia="宋体" w:cs="Times New Roman"/>
                <w:lang w:eastAsia="zh-CN"/>
              </w:rPr>
              <w:drawing>
                <wp:inline distT="0" distB="0" distL="114300" distR="114300">
                  <wp:extent cx="2283460" cy="4056380"/>
                  <wp:effectExtent l="0" t="0" r="2540" b="1270"/>
                  <wp:docPr id="1" name="图片 1" descr="d1918780c7aeebd30d15b7197c4d0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918780c7aeebd30d15b7197c4d0ac"/>
                          <pic:cNvPicPr>
                            <a:picLocks noChangeAspect="1"/>
                          </pic:cNvPicPr>
                        </pic:nvPicPr>
                        <pic:blipFill>
                          <a:blip r:embed="rId4"/>
                          <a:stretch>
                            <a:fillRect/>
                          </a:stretch>
                        </pic:blipFill>
                        <pic:spPr>
                          <a:xfrm>
                            <a:off x="0" y="0"/>
                            <a:ext cx="2283460" cy="4056380"/>
                          </a:xfrm>
                          <a:prstGeom prst="rect">
                            <a:avLst/>
                          </a:prstGeom>
                          <a:noFill/>
                          <a:ln>
                            <a:noFill/>
                          </a:ln>
                        </pic:spPr>
                      </pic:pic>
                    </a:graphicData>
                  </a:graphic>
                </wp:inline>
              </w:drawing>
            </w:r>
          </w:p>
          <w:p w14:paraId="51961454">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textAlignment w:val="auto"/>
              <w:rPr>
                <w:rFonts w:hint="eastAsia" w:ascii="Times New Roman" w:hAnsi="Times New Roman" w:cs="Times New Roman"/>
                <w:b/>
                <w:bCs/>
                <w:kern w:val="2"/>
                <w:sz w:val="24"/>
                <w:szCs w:val="24"/>
                <w:lang w:val="en-US" w:eastAsia="zh-CN" w:bidi="ar-SA"/>
              </w:rPr>
            </w:pPr>
          </w:p>
          <w:p w14:paraId="2EE5B4C0">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eastAsia="宋体"/>
                <w:b/>
                <w:bCs/>
                <w:color w:val="000000"/>
                <w:sz w:val="28"/>
                <w:szCs w:val="28"/>
                <w:lang w:val="en-US" w:eastAsia="zh-CN"/>
              </w:rPr>
            </w:pPr>
            <w:r>
              <w:rPr>
                <w:rFonts w:hint="eastAsia" w:eastAsia="宋体"/>
                <w:b/>
                <w:bCs/>
                <w:color w:val="000000"/>
                <w:sz w:val="24"/>
                <w:szCs w:val="24"/>
                <w:lang w:val="en-US" w:eastAsia="zh-CN"/>
              </w:rPr>
              <w:t>谢寒梅、业主、李景龙</w:t>
            </w:r>
          </w:p>
        </w:tc>
      </w:tr>
      <w:tr w14:paraId="5B6E2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0" w:type="pct"/>
            <w:gridSpan w:val="3"/>
          </w:tcPr>
          <w:p w14:paraId="44127ECD">
            <w:pPr>
              <w:rPr>
                <w:rFonts w:hint="default" w:ascii="Times New Roman" w:hAnsi="Times New Roman" w:cs="Times New Roman"/>
                <w:sz w:val="24"/>
                <w:szCs w:val="24"/>
              </w:rPr>
            </w:pPr>
            <w:r>
              <w:rPr>
                <w:rFonts w:hint="default" w:ascii="Times New Roman" w:hAnsi="Times New Roman" w:cs="Times New Roman"/>
                <w:sz w:val="24"/>
                <w:szCs w:val="24"/>
              </w:rPr>
              <w:t>提交时间：</w:t>
            </w:r>
          </w:p>
        </w:tc>
        <w:tc>
          <w:tcPr>
            <w:tcW w:w="2500" w:type="pct"/>
          </w:tcPr>
          <w:p w14:paraId="6BEA3145">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2025.06.24</w:t>
            </w:r>
          </w:p>
        </w:tc>
      </w:tr>
    </w:tbl>
    <w:p w14:paraId="0A73B04F">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eastAsiaTheme="minorEastAsia"/>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NWJmMGY1ZTc5NDlkMDg2OTk3MzQ3MjI5MDZiMDUifQ=="/>
  </w:docVars>
  <w:rsids>
    <w:rsidRoot w:val="00DC121B"/>
    <w:rsid w:val="0036364F"/>
    <w:rsid w:val="00431C16"/>
    <w:rsid w:val="00CA5370"/>
    <w:rsid w:val="00DC121B"/>
    <w:rsid w:val="041D633B"/>
    <w:rsid w:val="049C4DBF"/>
    <w:rsid w:val="05F81008"/>
    <w:rsid w:val="071D7C0D"/>
    <w:rsid w:val="07286611"/>
    <w:rsid w:val="08025443"/>
    <w:rsid w:val="0A9D24A5"/>
    <w:rsid w:val="0E2A545E"/>
    <w:rsid w:val="13E8516B"/>
    <w:rsid w:val="1A514522"/>
    <w:rsid w:val="1BED26C4"/>
    <w:rsid w:val="1D1D6358"/>
    <w:rsid w:val="1DAE7DCC"/>
    <w:rsid w:val="266D4805"/>
    <w:rsid w:val="28487016"/>
    <w:rsid w:val="2E375718"/>
    <w:rsid w:val="2EF9396F"/>
    <w:rsid w:val="30310181"/>
    <w:rsid w:val="3073310C"/>
    <w:rsid w:val="32C56DD8"/>
    <w:rsid w:val="3BC10ADD"/>
    <w:rsid w:val="3D3056F4"/>
    <w:rsid w:val="42235E22"/>
    <w:rsid w:val="43800213"/>
    <w:rsid w:val="47123FFB"/>
    <w:rsid w:val="5062196A"/>
    <w:rsid w:val="50DA43A2"/>
    <w:rsid w:val="56332E5B"/>
    <w:rsid w:val="57941AA9"/>
    <w:rsid w:val="5A527303"/>
    <w:rsid w:val="5F8A5D4B"/>
    <w:rsid w:val="602D7F21"/>
    <w:rsid w:val="610A2B60"/>
    <w:rsid w:val="6E8126C9"/>
    <w:rsid w:val="755B1633"/>
    <w:rsid w:val="75B07D22"/>
    <w:rsid w:val="78CE482F"/>
    <w:rsid w:val="7A134331"/>
    <w:rsid w:val="7A8B751C"/>
    <w:rsid w:val="7CCD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Lines="0" w:afterLines="0" w:line="600" w:lineRule="exact"/>
      <w:outlineLvl w:val="1"/>
    </w:pPr>
    <w:rPr>
      <w:rFonts w:ascii="Times New Roman" w:hAnsi="Times New Roman"/>
      <w:b/>
      <w:bCs/>
      <w:sz w:val="28"/>
      <w:szCs w:val="28"/>
    </w:rPr>
  </w:style>
  <w:style w:type="paragraph" w:styleId="3">
    <w:name w:val="heading 4"/>
    <w:basedOn w:val="1"/>
    <w:next w:val="1"/>
    <w:autoRedefine/>
    <w:qFormat/>
    <w:uiPriority w:val="0"/>
    <w:pPr>
      <w:keepNext/>
      <w:keepLines/>
      <w:adjustRightInd w:val="0"/>
      <w:spacing w:before="280" w:after="290" w:line="376" w:lineRule="atLeast"/>
      <w:ind w:firstLine="567"/>
      <w:jc w:val="left"/>
      <w:outlineLvl w:val="3"/>
    </w:pPr>
    <w:rPr>
      <w:rFonts w:ascii="Arial" w:hAnsi="Arial" w:eastAsia="宋体"/>
      <w:kern w:val="0"/>
      <w:szCs w:val="20"/>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黑体"/>
      <w:sz w:val="28"/>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0正文"/>
    <w:autoRedefine/>
    <w:unhideWhenUsed/>
    <w:qFormat/>
    <w:uiPriority w:val="0"/>
    <w:pPr>
      <w:widowControl w:val="0"/>
      <w:spacing w:line="360" w:lineRule="auto"/>
      <w:ind w:firstLine="720" w:firstLineChars="200"/>
    </w:pPr>
    <w:rPr>
      <w:rFonts w:ascii="Calibri" w:hAnsi="Calibri" w:eastAsia="宋体" w:cstheme="minorBidi"/>
      <w:sz w:val="28"/>
      <w:szCs w:val="22"/>
      <w:lang w:val="en-US" w:eastAsia="zh-CN" w:bidi="ar-SA"/>
    </w:rPr>
  </w:style>
  <w:style w:type="paragraph" w:customStyle="1" w:styleId="1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标题 2"/>
    <w:basedOn w:val="2"/>
    <w:qFormat/>
    <w:uiPriority w:val="0"/>
    <w:pPr>
      <w:snapToGrid w:val="0"/>
      <w:spacing w:before="120" w:beforeLines="0" w:after="120" w:afterLines="0" w:line="240" w:lineRule="auto"/>
    </w:pPr>
    <w:rPr>
      <w:rFonts w:eastAsia="宋体" w:cs="宋体"/>
      <w:bCs w:val="0"/>
    </w:rPr>
  </w:style>
  <w:style w:type="paragraph" w:customStyle="1" w:styleId="14">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zl正文"/>
    <w:basedOn w:val="1"/>
    <w:autoRedefine/>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1740</Words>
  <Characters>1834</Characters>
  <Lines>1</Lines>
  <Paragraphs>1</Paragraphs>
  <TotalTime>0</TotalTime>
  <ScaleCrop>false</ScaleCrop>
  <LinksUpToDate>false</LinksUpToDate>
  <CharactersWithSpaces>1834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2016-03-22T07:50:00Z</dcterms:created>
  <dc:creator>微软用户</dc:creator>
  <cp:lastModifiedBy>阿秋</cp:lastModifiedBy>
  <dcterms:modified xsi:type="dcterms:W3CDTF">2025-06-24T01:41:54Z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85BDCAA81A944BA1A2CA125BAB42A3B3_13</vt:lpwstr>
  </property>
  <property fmtid="{D5CDD505-2E9C-101B-9397-08002B2CF9AE}" pid="4" name="KSOTemplateDocerSaveRecord">
    <vt:lpwstr>eyJoZGlkIjoiNDhmZGNmMmEwOGQzYWY2NGMzNjMwZjVmNGNiYTJlMWUiLCJ1c2VySWQiOiIyMjcyMTU4ODEifQ==</vt:lpwstr>
  </property>
</Properties>
</file>